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FC" w:rsidRDefault="004861FC" w:rsidP="005F7F86">
      <w:pPr>
        <w:rPr>
          <w:rFonts w:ascii="Arial" w:hAnsi="Arial" w:cs="Arial"/>
          <w:b/>
          <w:sz w:val="22"/>
          <w:szCs w:val="22"/>
          <w:lang w:val="en-GB"/>
        </w:rPr>
      </w:pPr>
    </w:p>
    <w:p w:rsidR="005F7F86" w:rsidRPr="00E03083" w:rsidRDefault="005F7F86" w:rsidP="005F7F86">
      <w:pPr>
        <w:jc w:val="center"/>
        <w:rPr>
          <w:rFonts w:ascii="Arial" w:hAnsi="Arial" w:cs="Arial"/>
          <w:b/>
          <w:szCs w:val="24"/>
          <w:lang w:val="en-GB"/>
        </w:rPr>
      </w:pPr>
      <w:r w:rsidRPr="00E03083">
        <w:rPr>
          <w:rFonts w:ascii="Arial" w:hAnsi="Arial" w:cs="Arial"/>
          <w:b/>
          <w:szCs w:val="24"/>
          <w:lang w:val="en-GB"/>
        </w:rPr>
        <w:t>ADMISSION APPEAL FOR YEAR R IN SEPTEMBER 2021</w:t>
      </w:r>
    </w:p>
    <w:p w:rsidR="005F7F86" w:rsidRDefault="005F7F86" w:rsidP="005F7F86">
      <w:pPr>
        <w:jc w:val="center"/>
        <w:rPr>
          <w:rFonts w:ascii="Arial" w:hAnsi="Arial" w:cs="Arial"/>
          <w:b/>
          <w:sz w:val="22"/>
          <w:szCs w:val="22"/>
          <w:lang w:val="en-GB"/>
        </w:rPr>
      </w:pPr>
    </w:p>
    <w:p w:rsidR="005F7F86" w:rsidRPr="00B72298" w:rsidRDefault="005F7F86" w:rsidP="005F7F86">
      <w:pPr>
        <w:jc w:val="center"/>
        <w:rPr>
          <w:rFonts w:ascii="Arial" w:hAnsi="Arial" w:cs="Arial"/>
          <w:b/>
          <w:sz w:val="22"/>
          <w:szCs w:val="22"/>
          <w:lang w:val="en-GB"/>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245"/>
      </w:tblGrid>
      <w:tr w:rsidR="005F7F86" w:rsidRPr="00B72298">
        <w:tc>
          <w:tcPr>
            <w:tcW w:w="10349" w:type="dxa"/>
            <w:gridSpan w:val="2"/>
            <w:tcBorders>
              <w:top w:val="single" w:sz="12" w:space="0" w:color="auto"/>
              <w:left w:val="single" w:sz="12" w:space="0" w:color="auto"/>
              <w:right w:val="single" w:sz="12" w:space="0" w:color="auto"/>
            </w:tcBorders>
          </w:tcPr>
          <w:p w:rsidR="005F7F86" w:rsidRPr="00B72298" w:rsidRDefault="005F7F86" w:rsidP="005F7F86">
            <w:pPr>
              <w:jc w:val="center"/>
              <w:rPr>
                <w:rFonts w:ascii="Arial" w:hAnsi="Arial" w:cs="Arial"/>
                <w:b/>
                <w:sz w:val="22"/>
                <w:szCs w:val="22"/>
              </w:rPr>
            </w:pPr>
            <w:r w:rsidRPr="00B72298">
              <w:rPr>
                <w:rFonts w:ascii="Arial" w:hAnsi="Arial" w:cs="Arial"/>
                <w:b/>
                <w:sz w:val="22"/>
                <w:szCs w:val="22"/>
              </w:rPr>
              <w:t xml:space="preserve">BREACH – </w:t>
            </w:r>
            <w:r>
              <w:rPr>
                <w:rFonts w:ascii="Arial" w:hAnsi="Arial" w:cs="Arial"/>
                <w:b/>
                <w:sz w:val="22"/>
                <w:szCs w:val="22"/>
              </w:rPr>
              <w:t>MAIN</w:t>
            </w:r>
            <w:r w:rsidRPr="00B72298">
              <w:rPr>
                <w:rFonts w:ascii="Arial" w:hAnsi="Arial" w:cs="Arial"/>
                <w:b/>
                <w:sz w:val="22"/>
                <w:szCs w:val="22"/>
              </w:rPr>
              <w:t xml:space="preserve"> ROUND</w:t>
            </w:r>
          </w:p>
        </w:tc>
      </w:tr>
      <w:tr w:rsidR="005F7F86" w:rsidRPr="00B72298">
        <w:tc>
          <w:tcPr>
            <w:tcW w:w="10349" w:type="dxa"/>
            <w:gridSpan w:val="2"/>
            <w:tcBorders>
              <w:left w:val="single" w:sz="12" w:space="0" w:color="auto"/>
              <w:right w:val="single" w:sz="12" w:space="0" w:color="auto"/>
            </w:tcBorders>
          </w:tcPr>
          <w:p w:rsidR="005F7F86" w:rsidRPr="00B72298" w:rsidRDefault="005F7F86" w:rsidP="005F7F86">
            <w:pPr>
              <w:rPr>
                <w:rFonts w:ascii="Arial" w:hAnsi="Arial" w:cs="Arial"/>
                <w:sz w:val="22"/>
                <w:szCs w:val="22"/>
              </w:rPr>
            </w:pPr>
            <w:r w:rsidRPr="00B72298">
              <w:rPr>
                <w:rFonts w:ascii="Arial" w:hAnsi="Arial" w:cs="Arial"/>
                <w:sz w:val="22"/>
                <w:szCs w:val="22"/>
              </w:rPr>
              <w:t>Name of School Appealing for:</w:t>
            </w:r>
            <w:r>
              <w:rPr>
                <w:rFonts w:ascii="Arial" w:hAnsi="Arial" w:cs="Arial"/>
                <w:sz w:val="22"/>
                <w:szCs w:val="22"/>
              </w:rPr>
              <w:t xml:space="preserve"> </w:t>
            </w:r>
            <w:proofErr w:type="spellStart"/>
            <w:r w:rsidR="006118FD" w:rsidRPr="006118FD">
              <w:rPr>
                <w:rFonts w:ascii="Arial" w:hAnsi="Arial" w:cs="Arial"/>
                <w:b/>
                <w:bCs/>
                <w:sz w:val="22"/>
                <w:szCs w:val="22"/>
                <w:lang w:val="en-GB"/>
              </w:rPr>
              <w:t>Hunton</w:t>
            </w:r>
            <w:proofErr w:type="spellEnd"/>
            <w:r w:rsidR="006118FD" w:rsidRPr="006118FD">
              <w:rPr>
                <w:rFonts w:ascii="Arial" w:hAnsi="Arial" w:cs="Arial"/>
                <w:b/>
                <w:bCs/>
                <w:sz w:val="22"/>
                <w:szCs w:val="22"/>
                <w:lang w:val="en-GB"/>
              </w:rPr>
              <w:t xml:space="preserve"> </w:t>
            </w:r>
            <w:proofErr w:type="spellStart"/>
            <w:r w:rsidR="006118FD" w:rsidRPr="006118FD">
              <w:rPr>
                <w:rFonts w:ascii="Arial" w:hAnsi="Arial" w:cs="Arial"/>
                <w:b/>
                <w:bCs/>
                <w:sz w:val="22"/>
                <w:szCs w:val="22"/>
                <w:lang w:val="en-GB"/>
              </w:rPr>
              <w:t>CoE</w:t>
            </w:r>
            <w:proofErr w:type="spellEnd"/>
            <w:r w:rsidR="006118FD" w:rsidRPr="006118FD">
              <w:rPr>
                <w:rFonts w:ascii="Arial" w:hAnsi="Arial" w:cs="Arial"/>
                <w:b/>
                <w:bCs/>
                <w:sz w:val="22"/>
                <w:szCs w:val="22"/>
                <w:lang w:val="en-GB"/>
              </w:rPr>
              <w:t xml:space="preserve"> Primary School</w:t>
            </w:r>
          </w:p>
          <w:p w:rsidR="005F7F86" w:rsidRPr="00B72298" w:rsidRDefault="005F7F86" w:rsidP="005F7F86">
            <w:pPr>
              <w:rPr>
                <w:rFonts w:ascii="Arial" w:hAnsi="Arial" w:cs="Arial"/>
                <w:sz w:val="22"/>
                <w:szCs w:val="22"/>
              </w:rPr>
            </w:pPr>
          </w:p>
        </w:tc>
      </w:tr>
      <w:tr w:rsidR="005F7F86" w:rsidRPr="00B72298" w:rsidTr="006118FD">
        <w:trPr>
          <w:trHeight w:val="230"/>
        </w:trPr>
        <w:tc>
          <w:tcPr>
            <w:tcW w:w="5104" w:type="dxa"/>
            <w:tcBorders>
              <w:left w:val="single" w:sz="12" w:space="0" w:color="auto"/>
            </w:tcBorders>
          </w:tcPr>
          <w:p w:rsidR="005F7F86" w:rsidRPr="00B72298" w:rsidRDefault="005F7F86" w:rsidP="006118FD">
            <w:pPr>
              <w:rPr>
                <w:rFonts w:ascii="Arial" w:hAnsi="Arial" w:cs="Arial"/>
                <w:sz w:val="22"/>
                <w:szCs w:val="22"/>
              </w:rPr>
            </w:pPr>
            <w:r w:rsidRPr="00B72298">
              <w:rPr>
                <w:rFonts w:ascii="Arial" w:hAnsi="Arial" w:cs="Arial"/>
                <w:sz w:val="22"/>
                <w:szCs w:val="22"/>
              </w:rPr>
              <w:t>Published Admissions Number:</w:t>
            </w:r>
            <w:r>
              <w:rPr>
                <w:rFonts w:ascii="Arial" w:hAnsi="Arial" w:cs="Arial"/>
                <w:sz w:val="22"/>
                <w:szCs w:val="22"/>
              </w:rPr>
              <w:t xml:space="preserve"> </w:t>
            </w:r>
            <w:r w:rsidR="006118FD" w:rsidRPr="006118FD">
              <w:rPr>
                <w:rFonts w:ascii="Arial" w:hAnsi="Arial" w:cs="Arial"/>
                <w:b/>
                <w:bCs/>
                <w:sz w:val="22"/>
                <w:szCs w:val="22"/>
                <w:lang w:val="en-GB"/>
              </w:rPr>
              <w:t>15</w:t>
            </w:r>
          </w:p>
        </w:tc>
        <w:tc>
          <w:tcPr>
            <w:tcW w:w="5245" w:type="dxa"/>
            <w:tcBorders>
              <w:right w:val="single" w:sz="12" w:space="0" w:color="auto"/>
            </w:tcBorders>
          </w:tcPr>
          <w:p w:rsidR="005F7F86" w:rsidRPr="00B72298" w:rsidRDefault="005F7F86" w:rsidP="00507D8C">
            <w:pPr>
              <w:tabs>
                <w:tab w:val="left" w:pos="4200"/>
              </w:tabs>
              <w:rPr>
                <w:rFonts w:ascii="Arial" w:hAnsi="Arial" w:cs="Arial"/>
                <w:sz w:val="22"/>
                <w:szCs w:val="22"/>
              </w:rPr>
            </w:pPr>
            <w:r w:rsidRPr="00B72298">
              <w:rPr>
                <w:rFonts w:ascii="Arial" w:hAnsi="Arial" w:cs="Arial"/>
                <w:sz w:val="22"/>
                <w:szCs w:val="22"/>
              </w:rPr>
              <w:t>Number of applications received:</w:t>
            </w:r>
            <w:r>
              <w:rPr>
                <w:rFonts w:ascii="Arial" w:hAnsi="Arial" w:cs="Arial"/>
                <w:sz w:val="22"/>
                <w:szCs w:val="22"/>
              </w:rPr>
              <w:t xml:space="preserve"> </w:t>
            </w:r>
            <w:r w:rsidR="00507D8C">
              <w:rPr>
                <w:rFonts w:ascii="Arial" w:hAnsi="Arial" w:cs="Arial"/>
                <w:b/>
                <w:bCs/>
                <w:color w:val="FF0000"/>
                <w:sz w:val="22"/>
                <w:szCs w:val="22"/>
                <w:lang w:val="en-GB"/>
              </w:rPr>
              <w:t>to be advised</w:t>
            </w:r>
          </w:p>
        </w:tc>
      </w:tr>
      <w:tr w:rsidR="00947C0B" w:rsidRPr="00B72298">
        <w:tc>
          <w:tcPr>
            <w:tcW w:w="5104" w:type="dxa"/>
            <w:tcBorders>
              <w:left w:val="single" w:sz="12" w:space="0" w:color="auto"/>
              <w:bottom w:val="single" w:sz="12" w:space="0" w:color="auto"/>
            </w:tcBorders>
          </w:tcPr>
          <w:p w:rsidR="00947C0B" w:rsidRPr="00B72298" w:rsidRDefault="00947C0B" w:rsidP="005F7F86">
            <w:pPr>
              <w:rPr>
                <w:rFonts w:ascii="Arial" w:hAnsi="Arial" w:cs="Arial"/>
                <w:sz w:val="22"/>
                <w:szCs w:val="22"/>
              </w:rPr>
            </w:pPr>
            <w:r>
              <w:rPr>
                <w:rFonts w:ascii="Arial" w:hAnsi="Arial" w:cs="Arial"/>
                <w:sz w:val="22"/>
                <w:szCs w:val="22"/>
              </w:rPr>
              <w:t xml:space="preserve">Number of Applications Offered </w:t>
            </w:r>
          </w:p>
        </w:tc>
        <w:tc>
          <w:tcPr>
            <w:tcW w:w="5245" w:type="dxa"/>
            <w:tcBorders>
              <w:bottom w:val="single" w:sz="12" w:space="0" w:color="auto"/>
              <w:right w:val="single" w:sz="12" w:space="0" w:color="auto"/>
            </w:tcBorders>
          </w:tcPr>
          <w:p w:rsidR="00947C0B" w:rsidRPr="00B72298" w:rsidRDefault="00507D8C" w:rsidP="005F7F86">
            <w:pPr>
              <w:tabs>
                <w:tab w:val="left" w:pos="4200"/>
              </w:tabs>
              <w:rPr>
                <w:rFonts w:ascii="Arial" w:hAnsi="Arial" w:cs="Arial"/>
                <w:sz w:val="22"/>
                <w:szCs w:val="22"/>
              </w:rPr>
            </w:pPr>
            <w:r>
              <w:rPr>
                <w:rFonts w:ascii="Arial" w:hAnsi="Arial" w:cs="Arial"/>
                <w:b/>
                <w:bCs/>
                <w:color w:val="FF0000"/>
                <w:sz w:val="22"/>
                <w:szCs w:val="22"/>
                <w:lang w:val="en-GB"/>
              </w:rPr>
              <w:t>to be advised</w:t>
            </w:r>
            <w:bookmarkStart w:id="0" w:name="_GoBack"/>
            <w:bookmarkEnd w:id="0"/>
          </w:p>
        </w:tc>
      </w:tr>
    </w:tbl>
    <w:p w:rsidR="005F7F86" w:rsidRPr="00B72298" w:rsidRDefault="005F7F86" w:rsidP="005F7F86">
      <w:pPr>
        <w:jc w:val="center"/>
        <w:rPr>
          <w:rFonts w:ascii="Arial" w:hAnsi="Arial" w:cs="Arial"/>
          <w:b/>
          <w:sz w:val="22"/>
          <w:szCs w:val="22"/>
          <w:lang w:val="en-GB"/>
        </w:rPr>
      </w:pPr>
    </w:p>
    <w:p w:rsidR="005F7F86" w:rsidRPr="00B72298" w:rsidRDefault="005F7F86">
      <w:pPr>
        <w:rPr>
          <w:rFonts w:ascii="Arial" w:hAnsi="Arial" w:cs="Arial"/>
          <w:sz w:val="22"/>
          <w:szCs w:val="22"/>
          <w:lang w:val="en-GB"/>
        </w:rPr>
      </w:pPr>
    </w:p>
    <w:p w:rsidR="005F7F86" w:rsidRPr="000A7570" w:rsidRDefault="005F7F86">
      <w:pPr>
        <w:rPr>
          <w:rFonts w:ascii="Arial" w:hAnsi="Arial" w:cs="Arial"/>
          <w:szCs w:val="24"/>
          <w:lang w:val="en-GB"/>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5F7F86" w:rsidRPr="00B72298">
        <w:trPr>
          <w:trHeight w:val="155"/>
        </w:trPr>
        <w:tc>
          <w:tcPr>
            <w:tcW w:w="10349" w:type="dxa"/>
          </w:tcPr>
          <w:p w:rsidR="005F7F86" w:rsidRPr="00B72298" w:rsidRDefault="005F7F86" w:rsidP="005F7F86">
            <w:pPr>
              <w:jc w:val="center"/>
              <w:rPr>
                <w:rFonts w:ascii="Arial" w:hAnsi="Arial" w:cs="Arial"/>
                <w:sz w:val="22"/>
                <w:szCs w:val="22"/>
                <w:lang w:val="en-GB"/>
              </w:rPr>
            </w:pPr>
            <w:r w:rsidRPr="00B72298">
              <w:rPr>
                <w:rFonts w:ascii="Arial" w:hAnsi="Arial" w:cs="Arial"/>
                <w:b/>
                <w:sz w:val="22"/>
                <w:szCs w:val="22"/>
                <w:lang w:val="en-GB"/>
              </w:rPr>
              <w:t>Infant Class Size Legislation Appeals</w:t>
            </w:r>
          </w:p>
        </w:tc>
      </w:tr>
      <w:tr w:rsidR="005F7F86" w:rsidRPr="00B72298">
        <w:trPr>
          <w:trHeight w:val="48"/>
        </w:trPr>
        <w:tc>
          <w:tcPr>
            <w:tcW w:w="10349" w:type="dxa"/>
          </w:tcPr>
          <w:p w:rsidR="005F7F86" w:rsidRPr="00B72298" w:rsidRDefault="005F7F86" w:rsidP="005F7F86">
            <w:pPr>
              <w:rPr>
                <w:rFonts w:ascii="Arial" w:hAnsi="Arial" w:cs="Arial"/>
                <w:sz w:val="22"/>
                <w:szCs w:val="22"/>
                <w:lang w:val="en-GB"/>
              </w:rPr>
            </w:pPr>
            <w:r w:rsidRPr="00B72298">
              <w:rPr>
                <w:rFonts w:ascii="Arial" w:hAnsi="Arial" w:cs="Arial"/>
                <w:sz w:val="22"/>
                <w:szCs w:val="22"/>
                <w:lang w:val="en-GB"/>
              </w:rPr>
              <w:t>An Independent Appeal Panel must consider all the following matters when considering an appeal that would cause a breach of infant class size legislation</w:t>
            </w:r>
            <w:r>
              <w:rPr>
                <w:rFonts w:ascii="Arial" w:hAnsi="Arial" w:cs="Arial"/>
                <w:sz w:val="22"/>
                <w:szCs w:val="22"/>
                <w:lang w:val="en-GB"/>
              </w:rPr>
              <w:t>.</w:t>
            </w:r>
          </w:p>
          <w:p w:rsidR="005F7F86" w:rsidRPr="00B72298" w:rsidRDefault="005F7F86" w:rsidP="005F7F86">
            <w:pPr>
              <w:rPr>
                <w:rFonts w:ascii="Arial" w:hAnsi="Arial" w:cs="Arial"/>
                <w:sz w:val="22"/>
                <w:szCs w:val="22"/>
                <w:lang w:val="en-GB"/>
              </w:rPr>
            </w:pPr>
          </w:p>
          <w:p w:rsidR="005F7F86" w:rsidRPr="00870FBA" w:rsidRDefault="005F7F86" w:rsidP="005F7F86">
            <w:pPr>
              <w:rPr>
                <w:rFonts w:ascii="Arial" w:hAnsi="Arial" w:cs="Arial"/>
                <w:sz w:val="22"/>
                <w:szCs w:val="22"/>
                <w:lang w:val="en-GB"/>
              </w:rPr>
            </w:pPr>
            <w:r w:rsidRPr="00B72298">
              <w:rPr>
                <w:rFonts w:ascii="Arial" w:hAnsi="Arial" w:cs="Arial"/>
                <w:sz w:val="22"/>
                <w:szCs w:val="22"/>
                <w:lang w:val="en-GB"/>
              </w:rPr>
              <w:t xml:space="preserve">a. whether the admission of an additional child/additional children would breach the infant class limit; </w:t>
            </w:r>
            <w:r w:rsidRPr="00870FBA">
              <w:rPr>
                <w:rFonts w:ascii="Arial" w:hAnsi="Arial" w:cs="Arial"/>
                <w:sz w:val="22"/>
                <w:szCs w:val="22"/>
                <w:lang w:val="en-GB"/>
              </w:rPr>
              <w:t>and</w:t>
            </w:r>
          </w:p>
          <w:p w:rsidR="005F7F86" w:rsidRPr="00870FBA" w:rsidRDefault="005F7F86" w:rsidP="005F7F86">
            <w:pPr>
              <w:rPr>
                <w:rFonts w:ascii="Arial" w:hAnsi="Arial" w:cs="Arial"/>
                <w:sz w:val="22"/>
                <w:szCs w:val="22"/>
                <w:lang w:val="en-GB"/>
              </w:rPr>
            </w:pPr>
            <w:r w:rsidRPr="00870FBA">
              <w:rPr>
                <w:rFonts w:ascii="Arial" w:hAnsi="Arial" w:cs="Arial"/>
                <w:sz w:val="22"/>
                <w:szCs w:val="22"/>
                <w:lang w:val="en-GB"/>
              </w:rPr>
              <w:t>b. whether the admission arrangements (including the area’s co-ordinated admission arrangements) complied with the mandatory requirements of the School Admissions Code and Part 3 of the School Admissions Code Part 3 of the SSFA Act 1998; and</w:t>
            </w:r>
          </w:p>
          <w:p w:rsidR="005F7F86" w:rsidRPr="00B72298" w:rsidRDefault="005F7F86" w:rsidP="005F7F86">
            <w:pPr>
              <w:rPr>
                <w:rFonts w:ascii="Arial" w:hAnsi="Arial" w:cs="Arial"/>
                <w:sz w:val="22"/>
                <w:szCs w:val="22"/>
                <w:lang w:val="en-GB"/>
              </w:rPr>
            </w:pPr>
            <w:r w:rsidRPr="00870FBA">
              <w:rPr>
                <w:rFonts w:ascii="Arial" w:hAnsi="Arial" w:cs="Arial"/>
                <w:sz w:val="22"/>
                <w:szCs w:val="22"/>
                <w:lang w:val="en-GB"/>
              </w:rPr>
              <w:t>c. whether the admission arrangements were correctly and impartially applied in the case(s) in question; and</w:t>
            </w:r>
          </w:p>
          <w:p w:rsidR="005F7F86" w:rsidRPr="00B72298" w:rsidRDefault="005F7F86" w:rsidP="005F7F86">
            <w:pPr>
              <w:rPr>
                <w:rFonts w:ascii="Arial" w:hAnsi="Arial" w:cs="Arial"/>
                <w:sz w:val="22"/>
                <w:szCs w:val="22"/>
                <w:lang w:val="en-GB"/>
              </w:rPr>
            </w:pPr>
            <w:r w:rsidRPr="00B72298">
              <w:rPr>
                <w:rFonts w:ascii="Arial" w:hAnsi="Arial" w:cs="Arial"/>
                <w:sz w:val="22"/>
                <w:szCs w:val="22"/>
                <w:lang w:val="en-GB"/>
              </w:rPr>
              <w:t>d. whether the decision to refuse admission was one which a reasonable admission authority would have made in the circumstances of the case</w:t>
            </w:r>
            <w:r>
              <w:rPr>
                <w:rFonts w:ascii="Arial" w:hAnsi="Arial" w:cs="Arial"/>
                <w:sz w:val="22"/>
                <w:szCs w:val="22"/>
                <w:lang w:val="en-GB"/>
              </w:rPr>
              <w:t>.</w:t>
            </w:r>
          </w:p>
          <w:p w:rsidR="005F7F86" w:rsidRPr="00B72298" w:rsidRDefault="005F7F86" w:rsidP="005F7F86">
            <w:pPr>
              <w:rPr>
                <w:rFonts w:ascii="Arial" w:hAnsi="Arial" w:cs="Arial"/>
                <w:sz w:val="22"/>
                <w:szCs w:val="22"/>
                <w:lang w:val="en-GB"/>
              </w:rPr>
            </w:pPr>
          </w:p>
          <w:p w:rsidR="005F7F86" w:rsidRPr="00B72298" w:rsidRDefault="005F7F86" w:rsidP="005F7F86">
            <w:pPr>
              <w:rPr>
                <w:rFonts w:ascii="Arial" w:hAnsi="Arial" w:cs="Arial"/>
                <w:sz w:val="22"/>
                <w:szCs w:val="22"/>
                <w:lang w:val="en-GB"/>
              </w:rPr>
            </w:pPr>
            <w:r w:rsidRPr="00B72298">
              <w:rPr>
                <w:rFonts w:ascii="Arial" w:hAnsi="Arial" w:cs="Arial"/>
                <w:sz w:val="22"/>
                <w:szCs w:val="22"/>
                <w:lang w:val="en-GB"/>
              </w:rPr>
              <w:t>The Independent Appeal Panel may uphold the appeal where:</w:t>
            </w:r>
          </w:p>
          <w:p w:rsidR="005F7F86" w:rsidRPr="00B72298" w:rsidRDefault="005F7F86" w:rsidP="005F7F86">
            <w:pPr>
              <w:rPr>
                <w:rFonts w:ascii="Arial" w:hAnsi="Arial" w:cs="Arial"/>
                <w:sz w:val="22"/>
                <w:szCs w:val="22"/>
                <w:lang w:val="en-GB"/>
              </w:rPr>
            </w:pPr>
          </w:p>
          <w:p w:rsidR="005F7F86" w:rsidRPr="00B72298" w:rsidRDefault="005F7F86" w:rsidP="005F7F86">
            <w:pPr>
              <w:rPr>
                <w:rFonts w:ascii="Arial" w:hAnsi="Arial" w:cs="Arial"/>
                <w:sz w:val="22"/>
                <w:szCs w:val="22"/>
                <w:lang w:val="en-GB"/>
              </w:rPr>
            </w:pPr>
            <w:r w:rsidRPr="00B72298">
              <w:rPr>
                <w:rFonts w:ascii="Arial" w:hAnsi="Arial" w:cs="Arial"/>
                <w:sz w:val="22"/>
                <w:szCs w:val="22"/>
                <w:lang w:val="en-GB"/>
              </w:rPr>
              <w:t>a. it finds that the admission of additional children would not breach the infant class size limit; or</w:t>
            </w:r>
          </w:p>
          <w:p w:rsidR="005F7F86" w:rsidRPr="00B72298" w:rsidRDefault="005F7F86" w:rsidP="005F7F86">
            <w:pPr>
              <w:rPr>
                <w:rFonts w:ascii="Arial" w:hAnsi="Arial" w:cs="Arial"/>
                <w:sz w:val="22"/>
                <w:szCs w:val="22"/>
                <w:lang w:val="en-GB"/>
              </w:rPr>
            </w:pPr>
            <w:r w:rsidRPr="00B72298">
              <w:rPr>
                <w:rFonts w:ascii="Arial" w:hAnsi="Arial" w:cs="Arial"/>
                <w:sz w:val="22"/>
                <w:szCs w:val="22"/>
                <w:lang w:val="en-GB"/>
              </w:rPr>
              <w:t>b. it finds that the admission arrangements did not comply with admissions law or had not</w:t>
            </w:r>
            <w:r>
              <w:rPr>
                <w:rFonts w:ascii="Arial" w:hAnsi="Arial" w:cs="Arial"/>
                <w:sz w:val="22"/>
                <w:szCs w:val="22"/>
                <w:lang w:val="en-GB"/>
              </w:rPr>
              <w:t xml:space="preserve"> been</w:t>
            </w:r>
            <w:r w:rsidRPr="00B72298">
              <w:rPr>
                <w:rFonts w:ascii="Arial" w:hAnsi="Arial" w:cs="Arial"/>
                <w:sz w:val="22"/>
                <w:szCs w:val="22"/>
                <w:lang w:val="en-GB"/>
              </w:rPr>
              <w:t xml:space="preserve"> correctly and impartially applied and the child would have been offered a place if the arrangements had complied or had been correctly and impartially applied; or</w:t>
            </w:r>
          </w:p>
          <w:p w:rsidR="005F7F86" w:rsidRPr="00B72298" w:rsidRDefault="005F7F86" w:rsidP="005F7F86">
            <w:pPr>
              <w:rPr>
                <w:rFonts w:ascii="Arial" w:hAnsi="Arial" w:cs="Arial"/>
                <w:sz w:val="22"/>
                <w:szCs w:val="22"/>
                <w:lang w:val="en-GB"/>
              </w:rPr>
            </w:pPr>
            <w:r w:rsidRPr="00B72298">
              <w:rPr>
                <w:rFonts w:ascii="Arial" w:hAnsi="Arial" w:cs="Arial"/>
                <w:sz w:val="22"/>
                <w:szCs w:val="22"/>
                <w:lang w:val="en-GB"/>
              </w:rPr>
              <w:t>c. where it decides that the decision to refuse admission was not one which a reasonable admission authority would have made in the circumstances of the case.</w:t>
            </w:r>
          </w:p>
          <w:p w:rsidR="005F7F86" w:rsidRPr="00B72298" w:rsidRDefault="005F7F86" w:rsidP="005F7F86">
            <w:pPr>
              <w:rPr>
                <w:rFonts w:ascii="Arial" w:hAnsi="Arial" w:cs="Arial"/>
                <w:sz w:val="22"/>
                <w:szCs w:val="22"/>
                <w:lang w:val="en-GB"/>
              </w:rPr>
            </w:pPr>
          </w:p>
          <w:p w:rsidR="005F7F86" w:rsidRPr="00B72298" w:rsidRDefault="006118FD" w:rsidP="005F7F86">
            <w:pPr>
              <w:rPr>
                <w:rFonts w:ascii="Arial" w:hAnsi="Arial" w:cs="Arial"/>
                <w:sz w:val="22"/>
                <w:szCs w:val="22"/>
                <w:lang w:val="en-GB"/>
              </w:rPr>
            </w:pPr>
            <w:r>
              <w:rPr>
                <w:rFonts w:ascii="Arial" w:hAnsi="Arial" w:cs="Arial"/>
                <w:b/>
                <w:bCs/>
                <w:color w:val="201F1E"/>
                <w:sz w:val="22"/>
                <w:szCs w:val="22"/>
                <w:bdr w:val="none" w:sz="0" w:space="0" w:color="auto" w:frame="1"/>
                <w:shd w:val="clear" w:color="auto" w:fill="FFFFFF"/>
              </w:rPr>
              <w:t xml:space="preserve">I can confirm that none of the above points apply to any of the cases being considered by the appeal panel and that to admit additional pupils will breach the infant class size legislation.  Although the Reception year is taught in a class of 15, when these move up to year 1, we combine this class with year 2 students making a class of 30.  </w:t>
            </w:r>
            <w:proofErr w:type="gramStart"/>
            <w:r>
              <w:rPr>
                <w:rFonts w:ascii="Arial" w:hAnsi="Arial" w:cs="Arial"/>
                <w:b/>
                <w:bCs/>
                <w:color w:val="201F1E"/>
                <w:sz w:val="22"/>
                <w:szCs w:val="22"/>
                <w:bdr w:val="none" w:sz="0" w:space="0" w:color="auto" w:frame="1"/>
                <w:shd w:val="clear" w:color="auto" w:fill="FFFFFF"/>
              </w:rPr>
              <w:t>Therefore</w:t>
            </w:r>
            <w:proofErr w:type="gramEnd"/>
            <w:r>
              <w:rPr>
                <w:rFonts w:ascii="Arial" w:hAnsi="Arial" w:cs="Arial"/>
                <w:b/>
                <w:bCs/>
                <w:color w:val="201F1E"/>
                <w:sz w:val="22"/>
                <w:szCs w:val="22"/>
                <w:bdr w:val="none" w:sz="0" w:space="0" w:color="auto" w:frame="1"/>
                <w:shd w:val="clear" w:color="auto" w:fill="FFFFFF"/>
              </w:rPr>
              <w:t xml:space="preserve"> the Infant Class will be a ‘Future Breach’.</w:t>
            </w:r>
          </w:p>
          <w:p w:rsidR="005F7F86" w:rsidRPr="00B72298" w:rsidRDefault="005F7F86" w:rsidP="005F7F86">
            <w:pPr>
              <w:rPr>
                <w:rFonts w:ascii="Arial" w:hAnsi="Arial" w:cs="Arial"/>
                <w:sz w:val="22"/>
                <w:szCs w:val="22"/>
                <w:lang w:val="en-GB"/>
              </w:rPr>
            </w:pPr>
            <w:r>
              <w:rPr>
                <w:rFonts w:ascii="Arial" w:hAnsi="Arial" w:cs="Arial"/>
                <w:sz w:val="22"/>
                <w:szCs w:val="22"/>
                <w:lang w:val="en-GB"/>
              </w:rPr>
              <w:t xml:space="preserve">                                                                                                                          </w:t>
            </w:r>
          </w:p>
        </w:tc>
      </w:tr>
    </w:tbl>
    <w:p w:rsidR="005F7F86" w:rsidRPr="000A7570" w:rsidRDefault="005F7F86" w:rsidP="005F7F86">
      <w:pPr>
        <w:rPr>
          <w:rFonts w:ascii="Arial" w:hAnsi="Arial" w:cs="Arial"/>
          <w:szCs w:val="24"/>
          <w:lang w:val="en-GB"/>
        </w:rPr>
      </w:pPr>
      <w:r>
        <w:rPr>
          <w:rFonts w:ascii="Arial" w:hAnsi="Arial" w:cs="Arial"/>
          <w:szCs w:val="24"/>
          <w:lang w:val="en-GB"/>
        </w:rPr>
        <w:t xml:space="preserve"> </w:t>
      </w:r>
    </w:p>
    <w:sectPr w:rsidR="005F7F86" w:rsidRPr="000A7570" w:rsidSect="000D0696">
      <w:footerReference w:type="default" r:id="rId7"/>
      <w:pgSz w:w="12240" w:h="15840" w:code="1"/>
      <w:pgMar w:top="426" w:right="1041" w:bottom="426" w:left="1797"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96" w:rsidRDefault="000D0696" w:rsidP="000D0696">
      <w:r>
        <w:separator/>
      </w:r>
    </w:p>
  </w:endnote>
  <w:endnote w:type="continuationSeparator" w:id="0">
    <w:p w:rsidR="000D0696" w:rsidRDefault="000D0696" w:rsidP="000D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96" w:rsidRPr="000D0696" w:rsidRDefault="000D0696">
    <w:pPr>
      <w:pStyle w:val="Footer"/>
      <w:rPr>
        <w:rFonts w:ascii="Arial" w:hAnsi="Arial" w:cs="Arial"/>
        <w:sz w:val="16"/>
        <w:szCs w:val="16"/>
      </w:rPr>
    </w:pPr>
    <w:r w:rsidRPr="000D0696">
      <w:rPr>
        <w:rFonts w:ascii="Arial" w:hAnsi="Arial" w:cs="Arial"/>
        <w:sz w:val="16"/>
        <w:szCs w:val="16"/>
      </w:rPr>
      <w:fldChar w:fldCharType="begin"/>
    </w:r>
    <w:r w:rsidRPr="000D0696">
      <w:rPr>
        <w:rFonts w:ascii="Arial" w:hAnsi="Arial" w:cs="Arial"/>
        <w:sz w:val="16"/>
        <w:szCs w:val="16"/>
      </w:rPr>
      <w:instrText xml:space="preserve"> FILENAME  \p  \* MERGEFORMAT </w:instrText>
    </w:r>
    <w:r w:rsidRPr="000D0696">
      <w:rPr>
        <w:rFonts w:ascii="Arial" w:hAnsi="Arial" w:cs="Arial"/>
        <w:sz w:val="16"/>
        <w:szCs w:val="16"/>
      </w:rPr>
      <w:fldChar w:fldCharType="separate"/>
    </w:r>
    <w:r w:rsidRPr="000D0696">
      <w:rPr>
        <w:rFonts w:ascii="Arial" w:hAnsi="Arial" w:cs="Arial"/>
        <w:noProof/>
        <w:sz w:val="16"/>
        <w:szCs w:val="16"/>
      </w:rPr>
      <w:t>U:\Admissions\Admissions Appeals\Generic Defence Statement Working copy Breach Main Round 2021 - USE THIS ONE.docx</w:t>
    </w:r>
    <w:r w:rsidRPr="000D069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96" w:rsidRDefault="000D0696" w:rsidP="000D0696">
      <w:r>
        <w:separator/>
      </w:r>
    </w:p>
  </w:footnote>
  <w:footnote w:type="continuationSeparator" w:id="0">
    <w:p w:rsidR="000D0696" w:rsidRDefault="000D0696" w:rsidP="000D0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96FC3"/>
    <w:multiLevelType w:val="multilevel"/>
    <w:tmpl w:val="F1027C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65DE9"/>
    <w:multiLevelType w:val="hybridMultilevel"/>
    <w:tmpl w:val="EFC2A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756B0"/>
    <w:multiLevelType w:val="hybridMultilevel"/>
    <w:tmpl w:val="D264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20B6D"/>
    <w:multiLevelType w:val="hybridMultilevel"/>
    <w:tmpl w:val="F1027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38"/>
    <w:rsid w:val="000B6462"/>
    <w:rsid w:val="000D0696"/>
    <w:rsid w:val="004861FC"/>
    <w:rsid w:val="00507D8C"/>
    <w:rsid w:val="005F7F86"/>
    <w:rsid w:val="006118FD"/>
    <w:rsid w:val="006C7E38"/>
    <w:rsid w:val="008670A7"/>
    <w:rsid w:val="00870FBA"/>
    <w:rsid w:val="00947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7B34201"/>
  <w15:chartTrackingRefBased/>
  <w15:docId w15:val="{22657140-5A83-4E53-8DAF-5F15DD28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74FE"/>
    <w:rPr>
      <w:rFonts w:ascii="Tahoma" w:hAnsi="Tahoma" w:cs="Tahoma"/>
      <w:sz w:val="16"/>
      <w:szCs w:val="16"/>
    </w:rPr>
  </w:style>
  <w:style w:type="paragraph" w:styleId="Header">
    <w:name w:val="header"/>
    <w:basedOn w:val="Normal"/>
    <w:link w:val="HeaderChar"/>
    <w:rsid w:val="000D0696"/>
    <w:pPr>
      <w:tabs>
        <w:tab w:val="center" w:pos="4513"/>
        <w:tab w:val="right" w:pos="9026"/>
      </w:tabs>
    </w:pPr>
  </w:style>
  <w:style w:type="character" w:customStyle="1" w:styleId="HeaderChar">
    <w:name w:val="Header Char"/>
    <w:basedOn w:val="DefaultParagraphFont"/>
    <w:link w:val="Header"/>
    <w:rsid w:val="000D0696"/>
    <w:rPr>
      <w:sz w:val="24"/>
      <w:lang w:val="en-US"/>
    </w:rPr>
  </w:style>
  <w:style w:type="paragraph" w:styleId="Footer">
    <w:name w:val="footer"/>
    <w:basedOn w:val="Normal"/>
    <w:link w:val="FooterChar"/>
    <w:rsid w:val="000D0696"/>
    <w:pPr>
      <w:tabs>
        <w:tab w:val="center" w:pos="4513"/>
        <w:tab w:val="right" w:pos="9026"/>
      </w:tabs>
    </w:pPr>
  </w:style>
  <w:style w:type="character" w:customStyle="1" w:styleId="FooterChar">
    <w:name w:val="Footer Char"/>
    <w:basedOn w:val="DefaultParagraphFont"/>
    <w:link w:val="Footer"/>
    <w:rsid w:val="000D0696"/>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Admission Appeal Defence Statement</vt:lpstr>
    </vt:vector>
  </TitlesOfParts>
  <Company>Kent County Council</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Appeal Defence Statement</dc:title>
  <dc:subject/>
  <dc:creator>YoungJ01</dc:creator>
  <cp:keywords/>
  <cp:lastModifiedBy>Howard Hawes</cp:lastModifiedBy>
  <cp:revision>5</cp:revision>
  <cp:lastPrinted>2021-03-29T13:23:00Z</cp:lastPrinted>
  <dcterms:created xsi:type="dcterms:W3CDTF">2021-03-29T13:18:00Z</dcterms:created>
  <dcterms:modified xsi:type="dcterms:W3CDTF">2021-03-29T13:38:00Z</dcterms:modified>
</cp:coreProperties>
</file>